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182AB">
      <w:pPr>
        <w:spacing w:line="560" w:lineRule="exact"/>
        <w:rPr>
          <w:rFonts w:hint="eastAsia" w:ascii="方正小标宋简体" w:hAnsi="方正小标宋简体" w:eastAsia="方正小标宋简体" w:cs="方正小标宋简体"/>
          <w:bCs/>
          <w:color w:val="000000"/>
          <w:kern w:val="0"/>
          <w:sz w:val="44"/>
          <w:szCs w:val="44"/>
          <w:highlight w:val="none"/>
          <w:lang w:eastAsia="zh-CN"/>
        </w:rPr>
      </w:pPr>
      <w:r>
        <w:rPr>
          <w:rFonts w:hint="eastAsia" w:ascii="仿宋_GB2312" w:hAnsi="仿宋_GB2312" w:eastAsia="仿宋_GB2312" w:cs="仿宋_GB2312"/>
          <w:sz w:val="32"/>
          <w:highlight w:val="none"/>
        </w:rPr>
        <w:t>附件</w:t>
      </w:r>
      <w:r>
        <w:rPr>
          <w:rFonts w:hint="eastAsia" w:ascii="仿宋_GB2312" w:hAnsi="仿宋_GB2312" w:eastAsia="仿宋_GB2312" w:cs="仿宋_GB2312"/>
          <w:sz w:val="32"/>
          <w:highlight w:val="none"/>
          <w:lang w:eastAsia="zh-CN"/>
        </w:rPr>
        <w:t>：</w:t>
      </w:r>
    </w:p>
    <w:p w14:paraId="3EED4E8F">
      <w:pPr>
        <w:pStyle w:val="2"/>
        <w:spacing w:before="0" w:beforeLines="-2147483648" w:beforeAutospacing="0" w:after="0" w:afterLines="-2147483648" w:afterAutospacing="0" w:line="0" w:lineRule="atLeast"/>
        <w:ind w:left="0" w:leftChars="0"/>
        <w:jc w:val="center"/>
        <w:rPr>
          <w:rFonts w:hint="eastAsia" w:ascii="方正小标宋简体" w:hAnsi="方正小标宋简体" w:eastAsia="方正小标宋简体" w:cs="方正小标宋简体"/>
          <w:bCs/>
          <w:color w:val="000000"/>
          <w:kern w:val="0"/>
          <w:sz w:val="44"/>
          <w:szCs w:val="44"/>
          <w:highlight w:val="none"/>
        </w:rPr>
      </w:pPr>
      <w:r>
        <w:rPr>
          <w:rFonts w:hint="eastAsia" w:ascii="方正小标宋简体" w:hAnsi="方正小标宋简体" w:eastAsia="方正小标宋简体" w:cs="方正小标宋简体"/>
          <w:bCs/>
          <w:color w:val="000000"/>
          <w:kern w:val="0"/>
          <w:sz w:val="44"/>
          <w:szCs w:val="44"/>
          <w:highlight w:val="none"/>
        </w:rPr>
        <w:t>比选评分标准</w:t>
      </w:r>
    </w:p>
    <w:p w14:paraId="67FC90BA">
      <w:pPr>
        <w:rPr>
          <w:rFonts w:ascii="仿宋_GB2312" w:hAnsi="仿宋_GB2312" w:eastAsia="仿宋_GB2312" w:cs="仿宋_GB2312"/>
          <w:highlight w:val="none"/>
        </w:rPr>
      </w:pPr>
    </w:p>
    <w:tbl>
      <w:tblPr>
        <w:tblStyle w:val="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6079"/>
        <w:gridCol w:w="1937"/>
      </w:tblGrid>
      <w:tr w14:paraId="458D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245" w:type="dxa"/>
            <w:vAlign w:val="center"/>
          </w:tcPr>
          <w:p w14:paraId="1403267E">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序号</w:t>
            </w:r>
          </w:p>
        </w:tc>
        <w:tc>
          <w:tcPr>
            <w:tcW w:w="6079" w:type="dxa"/>
            <w:vAlign w:val="center"/>
          </w:tcPr>
          <w:p w14:paraId="56D1A001">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评分项及评分标准</w:t>
            </w:r>
          </w:p>
        </w:tc>
        <w:tc>
          <w:tcPr>
            <w:tcW w:w="1937" w:type="dxa"/>
            <w:vAlign w:val="center"/>
          </w:tcPr>
          <w:p w14:paraId="0C9CF8B6">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分值</w:t>
            </w:r>
          </w:p>
        </w:tc>
      </w:tr>
      <w:tr w14:paraId="446A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jc w:val="center"/>
        </w:trPr>
        <w:tc>
          <w:tcPr>
            <w:tcW w:w="1245" w:type="dxa"/>
            <w:vAlign w:val="center"/>
          </w:tcPr>
          <w:p w14:paraId="576EF4C4">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1</w:t>
            </w:r>
          </w:p>
        </w:tc>
        <w:tc>
          <w:tcPr>
            <w:tcW w:w="6079" w:type="dxa"/>
            <w:vAlign w:val="center"/>
          </w:tcPr>
          <w:p w14:paraId="09396A75">
            <w:pPr>
              <w:spacing w:line="0" w:lineRule="atLeast"/>
              <w:jc w:val="left"/>
              <w:rPr>
                <w:rFonts w:ascii="仿宋_GB2312" w:hAnsi="仿宋_GB2312" w:eastAsia="仿宋_GB2312" w:cs="仿宋_GB2312"/>
                <w:b/>
                <w:bCs/>
                <w:sz w:val="32"/>
                <w:highlight w:val="none"/>
              </w:rPr>
            </w:pPr>
            <w:r>
              <w:rPr>
                <w:rFonts w:hint="eastAsia" w:ascii="仿宋_GB2312" w:hAnsi="仿宋_GB2312" w:eastAsia="仿宋_GB2312" w:cs="仿宋_GB2312"/>
                <w:b/>
                <w:bCs/>
                <w:sz w:val="32"/>
                <w:highlight w:val="none"/>
                <w:lang w:val="en-US" w:eastAsia="zh-CN"/>
              </w:rPr>
              <w:t>类似</w:t>
            </w:r>
            <w:r>
              <w:rPr>
                <w:rFonts w:hint="eastAsia" w:ascii="仿宋_GB2312" w:hAnsi="仿宋_GB2312" w:eastAsia="仿宋_GB2312" w:cs="仿宋_GB2312"/>
                <w:b/>
                <w:bCs/>
                <w:sz w:val="32"/>
                <w:highlight w:val="none"/>
              </w:rPr>
              <w:t>业绩</w:t>
            </w:r>
          </w:p>
          <w:p w14:paraId="2B35C378">
            <w:pPr>
              <w:spacing w:line="0" w:lineRule="atLeast"/>
              <w:ind w:firstLine="640" w:firstLineChars="200"/>
              <w:jc w:val="left"/>
              <w:rPr>
                <w:rFonts w:hint="eastAsia" w:ascii="仿宋_GB2312" w:hAnsi="仿宋_GB2312" w:eastAsia="仿宋_GB2312" w:cs="仿宋_GB2312"/>
                <w:sz w:val="32"/>
                <w:highlight w:val="none"/>
                <w:lang w:val="en-US" w:eastAsia="zh-CN"/>
              </w:rPr>
            </w:pPr>
            <w:r>
              <w:rPr>
                <w:rFonts w:hint="eastAsia" w:ascii="仿宋_GB2312" w:hAnsi="Calibri" w:eastAsia="仿宋_GB2312" w:cs="仿宋_GB2312"/>
                <w:b w:val="0"/>
                <w:snapToGrid/>
                <w:kern w:val="2"/>
                <w:sz w:val="32"/>
                <w:szCs w:val="32"/>
                <w:highlight w:val="none"/>
                <w:lang w:val="en-US" w:eastAsia="zh-CN"/>
              </w:rPr>
              <w:t>需提供近3年</w:t>
            </w:r>
            <w:r>
              <w:rPr>
                <w:rFonts w:hint="eastAsia" w:ascii="仿宋_GB2312" w:eastAsia="仿宋_GB2312" w:cs="仿宋_GB2312"/>
                <w:b w:val="0"/>
                <w:snapToGrid/>
                <w:kern w:val="2"/>
                <w:sz w:val="32"/>
                <w:szCs w:val="32"/>
                <w:highlight w:val="none"/>
                <w:lang w:val="en-US" w:eastAsia="zh-CN"/>
              </w:rPr>
              <w:t>（2022-至今）组织评审</w:t>
            </w:r>
            <w:bookmarkStart w:id="0" w:name="_GoBack"/>
            <w:bookmarkEnd w:id="0"/>
            <w:r>
              <w:rPr>
                <w:rFonts w:hint="eastAsia" w:ascii="仿宋_GB2312" w:eastAsia="仿宋_GB2312" w:cs="仿宋_GB2312"/>
                <w:b w:val="0"/>
                <w:snapToGrid/>
                <w:kern w:val="2"/>
                <w:sz w:val="32"/>
                <w:szCs w:val="32"/>
                <w:highlight w:val="none"/>
                <w:lang w:val="en-US" w:eastAsia="zh-CN"/>
              </w:rPr>
              <w:t>服务</w:t>
            </w:r>
            <w:r>
              <w:rPr>
                <w:rFonts w:hint="eastAsia" w:ascii="仿宋_GB2312" w:hAnsi="Calibri" w:eastAsia="仿宋_GB2312" w:cs="仿宋_GB2312"/>
                <w:b w:val="0"/>
                <w:snapToGrid/>
                <w:kern w:val="2"/>
                <w:sz w:val="32"/>
                <w:szCs w:val="32"/>
                <w:highlight w:val="none"/>
                <w:lang w:val="en-US" w:eastAsia="zh-CN"/>
              </w:rPr>
              <w:t>业绩证明材料</w:t>
            </w:r>
            <w:r>
              <w:rPr>
                <w:rFonts w:hint="eastAsia" w:ascii="仿宋_GB2312" w:hAnsi="仿宋_GB2312" w:eastAsia="仿宋_GB2312" w:cs="仿宋_GB2312"/>
                <w:sz w:val="32"/>
                <w:highlight w:val="none"/>
              </w:rPr>
              <w:t>（</w:t>
            </w:r>
            <w:r>
              <w:rPr>
                <w:rFonts w:hint="eastAsia" w:ascii="仿宋_GB2312" w:hAnsi="仿宋_GB2312" w:eastAsia="仿宋_GB2312" w:cs="仿宋_GB2312"/>
                <w:sz w:val="32"/>
                <w:highlight w:val="none"/>
                <w:lang w:val="en-US" w:eastAsia="zh-CN"/>
              </w:rPr>
              <w:t>提供合同，时间以合同签订日期为准</w:t>
            </w:r>
            <w:r>
              <w:rPr>
                <w:rFonts w:hint="eastAsia" w:ascii="仿宋_GB2312" w:hAnsi="仿宋_GB2312" w:eastAsia="仿宋_GB2312" w:cs="仿宋_GB2312"/>
                <w:sz w:val="32"/>
                <w:highlight w:val="none"/>
              </w:rPr>
              <w:t>），每个业绩</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rPr>
              <w:t>分</w:t>
            </w:r>
            <w:r>
              <w:rPr>
                <w:rFonts w:hint="eastAsia" w:ascii="仿宋_GB2312" w:hAnsi="仿宋_GB2312" w:eastAsia="仿宋_GB2312" w:cs="仿宋_GB2312"/>
                <w:sz w:val="32"/>
                <w:highlight w:val="none"/>
                <w:lang w:eastAsia="zh-CN"/>
              </w:rPr>
              <w:t>。</w:t>
            </w:r>
          </w:p>
        </w:tc>
        <w:tc>
          <w:tcPr>
            <w:tcW w:w="1937" w:type="dxa"/>
            <w:vAlign w:val="center"/>
          </w:tcPr>
          <w:p w14:paraId="61A034A3">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0-30</w:t>
            </w:r>
          </w:p>
        </w:tc>
      </w:tr>
      <w:tr w14:paraId="20DF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jc w:val="center"/>
        </w:trPr>
        <w:tc>
          <w:tcPr>
            <w:tcW w:w="1245" w:type="dxa"/>
            <w:vAlign w:val="center"/>
          </w:tcPr>
          <w:p w14:paraId="43F3B4C4">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2</w:t>
            </w:r>
          </w:p>
        </w:tc>
        <w:tc>
          <w:tcPr>
            <w:tcW w:w="6079" w:type="dxa"/>
            <w:vAlign w:val="center"/>
          </w:tcPr>
          <w:p w14:paraId="306DA2B3">
            <w:pPr>
              <w:spacing w:line="0" w:lineRule="atLeast"/>
              <w:jc w:val="left"/>
              <w:rPr>
                <w:rFonts w:ascii="仿宋_GB2312" w:hAnsi="仿宋_GB2312" w:eastAsia="仿宋_GB2312" w:cs="仿宋_GB2312"/>
                <w:b/>
                <w:bCs/>
                <w:sz w:val="32"/>
                <w:highlight w:val="none"/>
              </w:rPr>
            </w:pPr>
            <w:r>
              <w:rPr>
                <w:rFonts w:hint="eastAsia" w:ascii="仿宋_GB2312" w:hAnsi="仿宋_GB2312" w:eastAsia="仿宋_GB2312" w:cs="仿宋_GB2312"/>
                <w:b/>
                <w:bCs/>
                <w:sz w:val="32"/>
                <w:highlight w:val="none"/>
              </w:rPr>
              <w:t>服务承诺</w:t>
            </w:r>
          </w:p>
          <w:p w14:paraId="1B70A20E">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1）为该项目组织专门的服务团队（</w:t>
            </w:r>
            <w:r>
              <w:rPr>
                <w:rFonts w:hint="eastAsia" w:ascii="仿宋_GB2312" w:hAnsi="仿宋_GB2312" w:eastAsia="仿宋_GB2312" w:cs="仿宋_GB2312"/>
                <w:sz w:val="32"/>
                <w:highlight w:val="none"/>
                <w:lang w:val="en-US" w:eastAsia="zh-CN"/>
              </w:rPr>
              <w:t>5</w:t>
            </w:r>
            <w:r>
              <w:rPr>
                <w:rFonts w:hint="eastAsia" w:ascii="仿宋_GB2312" w:hAnsi="仿宋_GB2312" w:eastAsia="仿宋_GB2312" w:cs="仿宋_GB2312"/>
                <w:sz w:val="32"/>
                <w:highlight w:val="none"/>
              </w:rPr>
              <w:t>分）</w:t>
            </w:r>
          </w:p>
          <w:p w14:paraId="3D1BA7C8">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2）跟踪服务科学（</w:t>
            </w:r>
            <w:r>
              <w:rPr>
                <w:rFonts w:ascii="仿宋_GB2312" w:hAnsi="仿宋_GB2312" w:eastAsia="仿宋_GB2312" w:cs="仿宋_GB2312"/>
                <w:sz w:val="32"/>
                <w:highlight w:val="none"/>
              </w:rPr>
              <w:t>7</w:t>
            </w:r>
            <w:r>
              <w:rPr>
                <w:rFonts w:hint="eastAsia" w:ascii="仿宋_GB2312" w:hAnsi="仿宋_GB2312" w:eastAsia="仿宋_GB2312" w:cs="仿宋_GB2312"/>
                <w:sz w:val="32"/>
                <w:highlight w:val="none"/>
              </w:rPr>
              <w:t>分）</w:t>
            </w:r>
          </w:p>
          <w:p w14:paraId="1471A5F3">
            <w:pPr>
              <w:spacing w:line="0" w:lineRule="atLeas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3）具备</w:t>
            </w:r>
            <w:r>
              <w:rPr>
                <w:rFonts w:hint="eastAsia" w:ascii="仿宋_GB2312" w:hAnsi="仿宋_GB2312" w:eastAsia="仿宋_GB2312" w:cs="仿宋_GB2312"/>
                <w:sz w:val="32"/>
                <w:szCs w:val="32"/>
                <w:highlight w:val="none"/>
                <w:lang w:val="en-US" w:eastAsia="zh-CN"/>
              </w:rPr>
              <w:t>较好的业务</w:t>
            </w:r>
            <w:r>
              <w:rPr>
                <w:rFonts w:hint="eastAsia" w:ascii="仿宋_GB2312" w:hAnsi="仿宋_GB2312" w:eastAsia="仿宋_GB2312" w:cs="仿宋_GB2312"/>
                <w:sz w:val="32"/>
                <w:szCs w:val="32"/>
                <w:highlight w:val="none"/>
              </w:rPr>
              <w:t>能力</w:t>
            </w:r>
            <w:r>
              <w:rPr>
                <w:rFonts w:hint="eastAsia" w:ascii="仿宋_GB2312" w:hAnsi="仿宋_GB2312" w:eastAsia="仿宋_GB2312" w:cs="仿宋_GB2312"/>
                <w:sz w:val="32"/>
                <w:highlight w:val="none"/>
              </w:rPr>
              <w:t>（</w:t>
            </w:r>
            <w:r>
              <w:rPr>
                <w:rFonts w:ascii="仿宋_GB2312" w:hAnsi="仿宋_GB2312" w:eastAsia="仿宋_GB2312" w:cs="仿宋_GB2312"/>
                <w:sz w:val="32"/>
                <w:highlight w:val="none"/>
              </w:rPr>
              <w:t>8</w:t>
            </w:r>
            <w:r>
              <w:rPr>
                <w:rFonts w:hint="eastAsia" w:ascii="仿宋_GB2312" w:hAnsi="仿宋_GB2312" w:eastAsia="仿宋_GB2312" w:cs="仿宋_GB2312"/>
                <w:sz w:val="32"/>
                <w:highlight w:val="none"/>
              </w:rPr>
              <w:t>分）</w:t>
            </w:r>
          </w:p>
          <w:p w14:paraId="2303995F">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4）有较好的服务方案（</w:t>
            </w:r>
            <w:r>
              <w:rPr>
                <w:rFonts w:hint="eastAsia" w:ascii="仿宋_GB2312" w:hAnsi="仿宋_GB2312" w:eastAsia="仿宋_GB2312" w:cs="仿宋_GB2312"/>
                <w:sz w:val="32"/>
                <w:highlight w:val="none"/>
                <w:lang w:val="en-US" w:eastAsia="zh-CN"/>
              </w:rPr>
              <w:t>10</w:t>
            </w:r>
            <w:r>
              <w:rPr>
                <w:rFonts w:hint="eastAsia" w:ascii="仿宋_GB2312" w:hAnsi="仿宋_GB2312" w:eastAsia="仿宋_GB2312" w:cs="仿宋_GB2312"/>
                <w:sz w:val="32"/>
                <w:highlight w:val="none"/>
              </w:rPr>
              <w:t>分）</w:t>
            </w:r>
          </w:p>
        </w:tc>
        <w:tc>
          <w:tcPr>
            <w:tcW w:w="1937" w:type="dxa"/>
            <w:vAlign w:val="center"/>
          </w:tcPr>
          <w:p w14:paraId="48E3987B">
            <w:pPr>
              <w:spacing w:line="0" w:lineRule="atLeast"/>
              <w:jc w:val="center"/>
              <w:rPr>
                <w:rFonts w:ascii="仿宋_GB2312" w:hAnsi="仿宋_GB2312" w:eastAsia="仿宋_GB2312" w:cs="仿宋_GB2312"/>
                <w:sz w:val="32"/>
                <w:highlight w:val="none"/>
              </w:rPr>
            </w:pPr>
            <w:r>
              <w:rPr>
                <w:rFonts w:ascii="仿宋_GB2312" w:hAnsi="仿宋_GB2312" w:eastAsia="仿宋_GB2312" w:cs="仿宋_GB2312"/>
                <w:sz w:val="32"/>
                <w:highlight w:val="none"/>
              </w:rPr>
              <w:t>0-30</w:t>
            </w:r>
          </w:p>
        </w:tc>
      </w:tr>
      <w:tr w14:paraId="169C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3" w:hRule="atLeast"/>
          <w:jc w:val="center"/>
        </w:trPr>
        <w:tc>
          <w:tcPr>
            <w:tcW w:w="1245" w:type="dxa"/>
            <w:vAlign w:val="center"/>
          </w:tcPr>
          <w:p w14:paraId="05E796F5">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w:t>
            </w:r>
          </w:p>
        </w:tc>
        <w:tc>
          <w:tcPr>
            <w:tcW w:w="6079" w:type="dxa"/>
            <w:vAlign w:val="center"/>
          </w:tcPr>
          <w:p w14:paraId="550AD931">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b/>
                <w:bCs/>
                <w:sz w:val="32"/>
                <w:highlight w:val="none"/>
              </w:rPr>
              <w:t>收费标准</w:t>
            </w:r>
          </w:p>
          <w:p w14:paraId="1D9B9854">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1）比选基准价为基数，报价与比选基准价一致得40分；</w:t>
            </w:r>
          </w:p>
          <w:p w14:paraId="102AF81F">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2）投标人的报价每高于比选基准价1%扣0.5分，或低于比选基准价1%扣0.3分，不足1%按比例计算。最多扣10分。</w:t>
            </w:r>
          </w:p>
          <w:p w14:paraId="62FF86B8">
            <w:pPr>
              <w:spacing w:line="0" w:lineRule="atLeast"/>
              <w:ind w:firstLine="640" w:firstLineChars="200"/>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比选基准价为有效比选报价的算术平均值（被否决投标的比选单位的投标报价、高于招标控制价的投标报价和比选委员会认为不合理的比选报价不参与比选基准价的计算）；</w:t>
            </w:r>
          </w:p>
          <w:p w14:paraId="11B9A2C3">
            <w:pPr>
              <w:spacing w:line="0" w:lineRule="atLeast"/>
              <w:ind w:firstLine="640" w:firstLine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计算公式A(评标基准价)=(A1+A2+…An)/n(n为有效个数，An为某有效投标报价)</w:t>
            </w:r>
          </w:p>
        </w:tc>
        <w:tc>
          <w:tcPr>
            <w:tcW w:w="1937" w:type="dxa"/>
            <w:vAlign w:val="center"/>
          </w:tcPr>
          <w:p w14:paraId="774040C2">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30-40</w:t>
            </w:r>
          </w:p>
        </w:tc>
      </w:tr>
    </w:tbl>
    <w:p w14:paraId="5DFE96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DD0E00"/>
    <w:rsid w:val="0BB02487"/>
    <w:rsid w:val="1B026FDC"/>
    <w:rsid w:val="1CFA7117"/>
    <w:rsid w:val="22DD303F"/>
    <w:rsid w:val="39DD0E00"/>
    <w:rsid w:val="4CEC7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333</Words>
  <Characters>373</Characters>
  <Lines>0</Lines>
  <Paragraphs>0</Paragraphs>
  <TotalTime>10</TotalTime>
  <ScaleCrop>false</ScaleCrop>
  <LinksUpToDate>false</LinksUpToDate>
  <CharactersWithSpaces>373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2025-07-04T07:16:00Z</dcterms:created>
  <dc:creator>Tang</dc:creator>
  <cp:lastModifiedBy>Tang</cp:lastModifiedBy>
  <cp:lastPrinted>2025-07-04T08:30:58Z</cp:lastPrinted>
  <dcterms:modified xsi:type="dcterms:W3CDTF">2025-07-04T09:01:56Z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CE27571B7EC74040BEFDA58FC7F37C3C_11</vt:lpwstr>
  </property>
  <property fmtid="{D5CDD505-2E9C-101B-9397-08002B2CF9AE}" pid="4" name="KSOTemplateDocerSaveRecord">
    <vt:lpwstr>eyJoZGlkIjoiYmExZWRkZTBiYjVmNzM1NTBmOGU5M2RmMzNmMDEyMmQiLCJ1c2VySWQiOiIxMTIzODAzOTMxIn0=</vt:lpwstr>
  </property>
</Properties>
</file>