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182AB">
      <w:pPr>
        <w:spacing w:line="560" w:lineRule="exact"/>
        <w:rPr>
          <w:rFonts w:hint="eastAsia" w:ascii="方正小标宋简体" w:hAnsi="方正小标宋简体" w:eastAsia="方正小标宋简体" w:cs="方正小标宋简体"/>
          <w:bCs/>
          <w:color w:val="000000"/>
          <w:kern w:val="0"/>
          <w:sz w:val="44"/>
          <w:szCs w:val="44"/>
          <w:highlight w:val="none"/>
          <w:lang w:eastAsia="zh-CN"/>
        </w:rPr>
      </w:pPr>
      <w:r>
        <w:rPr>
          <w:rFonts w:hint="eastAsia" w:ascii="仿宋_GB2312" w:hAnsi="仿宋_GB2312" w:eastAsia="仿宋_GB2312" w:cs="仿宋_GB2312"/>
          <w:sz w:val="32"/>
          <w:highlight w:val="none"/>
        </w:rPr>
        <w:t>附件</w:t>
      </w:r>
      <w:r>
        <w:rPr>
          <w:rFonts w:hint="eastAsia" w:ascii="仿宋_GB2312" w:hAnsi="仿宋_GB2312" w:eastAsia="仿宋_GB2312" w:cs="仿宋_GB2312"/>
          <w:sz w:val="32"/>
          <w:highlight w:val="none"/>
          <w:lang w:eastAsia="zh-CN"/>
        </w:rPr>
        <w:t>：</w:t>
      </w:r>
    </w:p>
    <w:p w14:paraId="3EED4E8F">
      <w:pPr>
        <w:pStyle w:val="2"/>
        <w:spacing w:before="0" w:beforeLines="-2147483648" w:beforeAutospacing="0" w:after="0" w:afterLines="-2147483648" w:afterAutospacing="0" w:line="0" w:lineRule="atLeast"/>
        <w:ind w:left="0" w:leftChars="0"/>
        <w:jc w:val="center"/>
        <w:rPr>
          <w:rFonts w:hint="eastAsia" w:ascii="方正小标宋简体" w:hAnsi="方正小标宋简体" w:eastAsia="方正小标宋简体" w:cs="方正小标宋简体"/>
          <w:bCs/>
          <w:color w:val="000000"/>
          <w:kern w:val="0"/>
          <w:sz w:val="44"/>
          <w:szCs w:val="44"/>
          <w:highlight w:val="none"/>
        </w:rPr>
      </w:pPr>
      <w:r>
        <w:rPr>
          <w:rFonts w:hint="eastAsia" w:ascii="方正小标宋简体" w:hAnsi="方正小标宋简体" w:eastAsia="方正小标宋简体" w:cs="方正小标宋简体"/>
          <w:bCs/>
          <w:color w:val="000000"/>
          <w:kern w:val="0"/>
          <w:sz w:val="44"/>
          <w:szCs w:val="44"/>
          <w:highlight w:val="none"/>
        </w:rPr>
        <w:t>比选评分标准</w:t>
      </w:r>
    </w:p>
    <w:p w14:paraId="67FC90BA">
      <w:pPr>
        <w:rPr>
          <w:rFonts w:ascii="仿宋_GB2312" w:hAnsi="仿宋_GB2312" w:eastAsia="仿宋_GB2312" w:cs="仿宋_GB2312"/>
          <w:highlight w:val="none"/>
        </w:rPr>
      </w:pPr>
    </w:p>
    <w:tbl>
      <w:tblPr>
        <w:tblStyle w:val="3"/>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6079"/>
        <w:gridCol w:w="1937"/>
      </w:tblGrid>
      <w:tr w14:paraId="458DF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245" w:type="dxa"/>
            <w:vAlign w:val="center"/>
          </w:tcPr>
          <w:p w14:paraId="1403267E">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序号</w:t>
            </w:r>
          </w:p>
        </w:tc>
        <w:tc>
          <w:tcPr>
            <w:tcW w:w="6079" w:type="dxa"/>
            <w:vAlign w:val="center"/>
          </w:tcPr>
          <w:p w14:paraId="56D1A001">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评分项及评分标准</w:t>
            </w:r>
          </w:p>
        </w:tc>
        <w:tc>
          <w:tcPr>
            <w:tcW w:w="1937" w:type="dxa"/>
            <w:vAlign w:val="center"/>
          </w:tcPr>
          <w:p w14:paraId="0C9CF8B6">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分值</w:t>
            </w:r>
          </w:p>
        </w:tc>
      </w:tr>
      <w:tr w14:paraId="446A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7" w:hRule="atLeast"/>
          <w:jc w:val="center"/>
        </w:trPr>
        <w:tc>
          <w:tcPr>
            <w:tcW w:w="1245" w:type="dxa"/>
            <w:vAlign w:val="center"/>
          </w:tcPr>
          <w:p w14:paraId="576EF4C4">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1</w:t>
            </w:r>
          </w:p>
        </w:tc>
        <w:tc>
          <w:tcPr>
            <w:tcW w:w="6079" w:type="dxa"/>
            <w:vAlign w:val="center"/>
          </w:tcPr>
          <w:p w14:paraId="09396A75">
            <w:pPr>
              <w:spacing w:line="0" w:lineRule="atLeast"/>
              <w:jc w:val="left"/>
              <w:rPr>
                <w:rFonts w:ascii="仿宋_GB2312" w:hAnsi="仿宋_GB2312" w:eastAsia="仿宋_GB2312" w:cs="仿宋_GB2312"/>
                <w:b/>
                <w:bCs/>
                <w:sz w:val="32"/>
                <w:highlight w:val="none"/>
              </w:rPr>
            </w:pPr>
            <w:r>
              <w:rPr>
                <w:rFonts w:hint="eastAsia" w:ascii="仿宋_GB2312" w:hAnsi="仿宋_GB2312" w:eastAsia="仿宋_GB2312" w:cs="仿宋_GB2312"/>
                <w:b/>
                <w:bCs/>
                <w:sz w:val="32"/>
                <w:highlight w:val="none"/>
                <w:lang w:val="en-US" w:eastAsia="zh-CN"/>
              </w:rPr>
              <w:t>类似</w:t>
            </w:r>
            <w:r>
              <w:rPr>
                <w:rFonts w:hint="eastAsia" w:ascii="仿宋_GB2312" w:hAnsi="仿宋_GB2312" w:eastAsia="仿宋_GB2312" w:cs="仿宋_GB2312"/>
                <w:b/>
                <w:bCs/>
                <w:sz w:val="32"/>
                <w:highlight w:val="none"/>
              </w:rPr>
              <w:t>业绩</w:t>
            </w:r>
          </w:p>
          <w:p w14:paraId="2B35C378">
            <w:pPr>
              <w:spacing w:line="0" w:lineRule="atLeast"/>
              <w:ind w:firstLine="640" w:firstLineChars="200"/>
              <w:jc w:val="left"/>
              <w:rPr>
                <w:rFonts w:hint="eastAsia" w:ascii="仿宋_GB2312" w:hAnsi="仿宋_GB2312" w:eastAsia="仿宋_GB2312" w:cs="仿宋_GB2312"/>
                <w:sz w:val="32"/>
                <w:highlight w:val="none"/>
                <w:lang w:val="en-US" w:eastAsia="zh-CN"/>
              </w:rPr>
            </w:pPr>
            <w:r>
              <w:rPr>
                <w:rFonts w:hint="eastAsia" w:ascii="仿宋_GB2312" w:hAnsi="Calibri" w:eastAsia="仿宋_GB2312" w:cs="仿宋_GB2312"/>
                <w:b w:val="0"/>
                <w:snapToGrid/>
                <w:kern w:val="2"/>
                <w:sz w:val="32"/>
                <w:szCs w:val="32"/>
                <w:highlight w:val="none"/>
                <w:lang w:val="en-US" w:eastAsia="zh-CN"/>
              </w:rPr>
              <w:t>需提供近3年（2022-至今）</w:t>
            </w:r>
            <w:bookmarkStart w:id="0" w:name="_GoBack"/>
            <w:bookmarkEnd w:id="0"/>
            <w:r>
              <w:rPr>
                <w:rFonts w:hint="eastAsia" w:ascii="仿宋_GB2312" w:hAnsi="Calibri" w:eastAsia="仿宋_GB2312" w:cs="仿宋_GB2312"/>
                <w:b w:val="0"/>
                <w:snapToGrid/>
                <w:kern w:val="2"/>
                <w:sz w:val="32"/>
                <w:szCs w:val="32"/>
                <w:highlight w:val="none"/>
                <w:lang w:val="en-US" w:eastAsia="zh-CN"/>
              </w:rPr>
              <w:t>图集、施工图编制业绩证明材料（提供合同复印件或扫描件，并加盖公章，时间以合同签订日期为准）。</w:t>
            </w:r>
          </w:p>
        </w:tc>
        <w:tc>
          <w:tcPr>
            <w:tcW w:w="1937" w:type="dxa"/>
            <w:vAlign w:val="center"/>
          </w:tcPr>
          <w:p w14:paraId="61A034A3">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0-30</w:t>
            </w:r>
          </w:p>
        </w:tc>
      </w:tr>
      <w:tr w14:paraId="20DF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jc w:val="center"/>
        </w:trPr>
        <w:tc>
          <w:tcPr>
            <w:tcW w:w="1245" w:type="dxa"/>
            <w:vAlign w:val="center"/>
          </w:tcPr>
          <w:p w14:paraId="43F3B4C4">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2</w:t>
            </w:r>
          </w:p>
        </w:tc>
        <w:tc>
          <w:tcPr>
            <w:tcW w:w="6079" w:type="dxa"/>
            <w:vAlign w:val="center"/>
          </w:tcPr>
          <w:p w14:paraId="306DA2B3">
            <w:pPr>
              <w:spacing w:line="0" w:lineRule="atLeast"/>
              <w:jc w:val="left"/>
              <w:rPr>
                <w:rFonts w:ascii="仿宋_GB2312" w:hAnsi="仿宋_GB2312" w:eastAsia="仿宋_GB2312" w:cs="仿宋_GB2312"/>
                <w:b/>
                <w:bCs/>
                <w:sz w:val="32"/>
                <w:highlight w:val="none"/>
              </w:rPr>
            </w:pPr>
            <w:r>
              <w:rPr>
                <w:rFonts w:hint="eastAsia" w:ascii="仿宋_GB2312" w:hAnsi="仿宋_GB2312" w:eastAsia="仿宋_GB2312" w:cs="仿宋_GB2312"/>
                <w:b/>
                <w:bCs/>
                <w:sz w:val="32"/>
                <w:highlight w:val="none"/>
              </w:rPr>
              <w:t>服务承诺</w:t>
            </w:r>
          </w:p>
          <w:p w14:paraId="1B70A20E">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1）为该项目组织专门的服务团队（</w:t>
            </w:r>
            <w:r>
              <w:rPr>
                <w:rFonts w:hint="eastAsia" w:ascii="仿宋_GB2312" w:hAnsi="仿宋_GB2312" w:eastAsia="仿宋_GB2312" w:cs="仿宋_GB2312"/>
                <w:sz w:val="32"/>
                <w:highlight w:val="none"/>
                <w:lang w:val="en-US" w:eastAsia="zh-CN"/>
              </w:rPr>
              <w:t>5</w:t>
            </w:r>
            <w:r>
              <w:rPr>
                <w:rFonts w:hint="eastAsia" w:ascii="仿宋_GB2312" w:hAnsi="仿宋_GB2312" w:eastAsia="仿宋_GB2312" w:cs="仿宋_GB2312"/>
                <w:sz w:val="32"/>
                <w:highlight w:val="none"/>
              </w:rPr>
              <w:t>分）</w:t>
            </w:r>
          </w:p>
          <w:p w14:paraId="3D1BA7C8">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2）跟踪服务科学（</w:t>
            </w:r>
            <w:r>
              <w:rPr>
                <w:rFonts w:ascii="仿宋_GB2312" w:hAnsi="仿宋_GB2312" w:eastAsia="仿宋_GB2312" w:cs="仿宋_GB2312"/>
                <w:sz w:val="32"/>
                <w:highlight w:val="none"/>
              </w:rPr>
              <w:t>7</w:t>
            </w:r>
            <w:r>
              <w:rPr>
                <w:rFonts w:hint="eastAsia" w:ascii="仿宋_GB2312" w:hAnsi="仿宋_GB2312" w:eastAsia="仿宋_GB2312" w:cs="仿宋_GB2312"/>
                <w:sz w:val="32"/>
                <w:highlight w:val="none"/>
              </w:rPr>
              <w:t>分）</w:t>
            </w:r>
          </w:p>
          <w:p w14:paraId="1471A5F3">
            <w:pPr>
              <w:spacing w:line="0" w:lineRule="atLeas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3）具备</w:t>
            </w:r>
            <w:r>
              <w:rPr>
                <w:rFonts w:hint="eastAsia" w:ascii="仿宋_GB2312" w:hAnsi="仿宋_GB2312" w:eastAsia="仿宋_GB2312" w:cs="仿宋_GB2312"/>
                <w:sz w:val="32"/>
                <w:szCs w:val="32"/>
                <w:highlight w:val="none"/>
                <w:lang w:val="en-US" w:eastAsia="zh-CN"/>
              </w:rPr>
              <w:t>较好的业务</w:t>
            </w:r>
            <w:r>
              <w:rPr>
                <w:rFonts w:hint="eastAsia" w:ascii="仿宋_GB2312" w:hAnsi="仿宋_GB2312" w:eastAsia="仿宋_GB2312" w:cs="仿宋_GB2312"/>
                <w:sz w:val="32"/>
                <w:szCs w:val="32"/>
                <w:highlight w:val="none"/>
              </w:rPr>
              <w:t>能力</w:t>
            </w:r>
            <w:r>
              <w:rPr>
                <w:rFonts w:hint="eastAsia" w:ascii="仿宋_GB2312" w:hAnsi="仿宋_GB2312" w:eastAsia="仿宋_GB2312" w:cs="仿宋_GB2312"/>
                <w:sz w:val="32"/>
                <w:highlight w:val="none"/>
              </w:rPr>
              <w:t>（</w:t>
            </w:r>
            <w:r>
              <w:rPr>
                <w:rFonts w:ascii="仿宋_GB2312" w:hAnsi="仿宋_GB2312" w:eastAsia="仿宋_GB2312" w:cs="仿宋_GB2312"/>
                <w:sz w:val="32"/>
                <w:highlight w:val="none"/>
              </w:rPr>
              <w:t>8</w:t>
            </w:r>
            <w:r>
              <w:rPr>
                <w:rFonts w:hint="eastAsia" w:ascii="仿宋_GB2312" w:hAnsi="仿宋_GB2312" w:eastAsia="仿宋_GB2312" w:cs="仿宋_GB2312"/>
                <w:sz w:val="32"/>
                <w:highlight w:val="none"/>
              </w:rPr>
              <w:t>分）</w:t>
            </w:r>
          </w:p>
          <w:p w14:paraId="2303995F">
            <w:pPr>
              <w:spacing w:line="0" w:lineRule="atLeast"/>
              <w:ind w:left="640" w:hanging="640" w:hanging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4）有较好的服务方案（</w:t>
            </w:r>
            <w:r>
              <w:rPr>
                <w:rFonts w:hint="eastAsia" w:ascii="仿宋_GB2312" w:hAnsi="仿宋_GB2312" w:eastAsia="仿宋_GB2312" w:cs="仿宋_GB2312"/>
                <w:sz w:val="32"/>
                <w:highlight w:val="none"/>
                <w:lang w:val="en-US" w:eastAsia="zh-CN"/>
              </w:rPr>
              <w:t>10</w:t>
            </w:r>
            <w:r>
              <w:rPr>
                <w:rFonts w:hint="eastAsia" w:ascii="仿宋_GB2312" w:hAnsi="仿宋_GB2312" w:eastAsia="仿宋_GB2312" w:cs="仿宋_GB2312"/>
                <w:sz w:val="32"/>
                <w:highlight w:val="none"/>
              </w:rPr>
              <w:t>分）</w:t>
            </w:r>
          </w:p>
        </w:tc>
        <w:tc>
          <w:tcPr>
            <w:tcW w:w="1937" w:type="dxa"/>
            <w:vAlign w:val="center"/>
          </w:tcPr>
          <w:p w14:paraId="48E3987B">
            <w:pPr>
              <w:spacing w:line="0" w:lineRule="atLeast"/>
              <w:jc w:val="center"/>
              <w:rPr>
                <w:rFonts w:ascii="仿宋_GB2312" w:hAnsi="仿宋_GB2312" w:eastAsia="仿宋_GB2312" w:cs="仿宋_GB2312"/>
                <w:sz w:val="32"/>
                <w:highlight w:val="none"/>
              </w:rPr>
            </w:pPr>
            <w:r>
              <w:rPr>
                <w:rFonts w:ascii="仿宋_GB2312" w:hAnsi="仿宋_GB2312" w:eastAsia="仿宋_GB2312" w:cs="仿宋_GB2312"/>
                <w:sz w:val="32"/>
                <w:highlight w:val="none"/>
              </w:rPr>
              <w:t>0-30</w:t>
            </w:r>
          </w:p>
        </w:tc>
      </w:tr>
      <w:tr w14:paraId="169C6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3" w:hRule="atLeast"/>
          <w:jc w:val="center"/>
        </w:trPr>
        <w:tc>
          <w:tcPr>
            <w:tcW w:w="1245" w:type="dxa"/>
            <w:vAlign w:val="center"/>
          </w:tcPr>
          <w:p w14:paraId="05E796F5">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w:t>
            </w:r>
          </w:p>
        </w:tc>
        <w:tc>
          <w:tcPr>
            <w:tcW w:w="6079" w:type="dxa"/>
            <w:vAlign w:val="center"/>
          </w:tcPr>
          <w:p w14:paraId="550AD931">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b/>
                <w:bCs/>
                <w:sz w:val="32"/>
                <w:highlight w:val="none"/>
              </w:rPr>
              <w:t>收费标准</w:t>
            </w:r>
          </w:p>
          <w:p w14:paraId="1D9B9854">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1）比选基准价为基数，报价与比选基准价一致得40分；</w:t>
            </w:r>
          </w:p>
          <w:p w14:paraId="102AF81F">
            <w:pPr>
              <w:spacing w:line="0" w:lineRule="atLeast"/>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2）投标人的报价每高于比选基准价1%扣0.5分，或低于比选基准价1%扣0.3分，不足1%按比例计算。最多扣10分。</w:t>
            </w:r>
          </w:p>
          <w:p w14:paraId="62FF86B8">
            <w:pPr>
              <w:spacing w:line="0" w:lineRule="atLeast"/>
              <w:ind w:firstLine="640" w:firstLineChars="200"/>
              <w:jc w:val="left"/>
              <w:rPr>
                <w:rFonts w:hint="eastAsia" w:ascii="仿宋_GB2312" w:hAnsi="仿宋_GB2312" w:eastAsia="仿宋_GB2312" w:cs="仿宋_GB2312"/>
                <w:sz w:val="32"/>
                <w:highlight w:val="none"/>
              </w:rPr>
            </w:pPr>
            <w:r>
              <w:rPr>
                <w:rFonts w:hint="eastAsia" w:ascii="仿宋_GB2312" w:hAnsi="仿宋_GB2312" w:eastAsia="仿宋_GB2312" w:cs="仿宋_GB2312"/>
                <w:sz w:val="32"/>
                <w:highlight w:val="none"/>
              </w:rPr>
              <w:t>比选基准价为有效比选报价的算术平均值（被否决投标的比选单位的投标报价、高于招标控制价的投标报价和比选委员会认为不合理的比选报价不参与比选基准价的计算）；</w:t>
            </w:r>
          </w:p>
          <w:p w14:paraId="11B9A2C3">
            <w:pPr>
              <w:spacing w:line="0" w:lineRule="atLeast"/>
              <w:ind w:firstLine="640" w:firstLineChars="200"/>
              <w:jc w:val="left"/>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计算公式A(评标基准价)=(A1+A2+…An)/n(n为有效个数，An为某有效投标报价)</w:t>
            </w:r>
          </w:p>
        </w:tc>
        <w:tc>
          <w:tcPr>
            <w:tcW w:w="1937" w:type="dxa"/>
            <w:vAlign w:val="center"/>
          </w:tcPr>
          <w:p w14:paraId="774040C2">
            <w:pPr>
              <w:spacing w:line="0" w:lineRule="atLeast"/>
              <w:jc w:val="center"/>
              <w:rPr>
                <w:rFonts w:ascii="仿宋_GB2312" w:hAnsi="仿宋_GB2312" w:eastAsia="仿宋_GB2312" w:cs="仿宋_GB2312"/>
                <w:sz w:val="32"/>
                <w:highlight w:val="none"/>
              </w:rPr>
            </w:pPr>
            <w:r>
              <w:rPr>
                <w:rFonts w:hint="eastAsia" w:ascii="仿宋_GB2312" w:hAnsi="仿宋_GB2312" w:eastAsia="仿宋_GB2312" w:cs="仿宋_GB2312"/>
                <w:sz w:val="32"/>
                <w:highlight w:val="none"/>
              </w:rPr>
              <w:t>30-40</w:t>
            </w:r>
          </w:p>
        </w:tc>
      </w:tr>
    </w:tbl>
    <w:p w14:paraId="5DFE96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DD0E00"/>
    <w:rsid w:val="24477576"/>
    <w:rsid w:val="39DD0E00"/>
    <w:rsid w:val="624E3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344</Words>
  <Characters>384</Characters>
  <Lines>0</Lines>
  <Paragraphs>0</Paragraphs>
  <TotalTime>3</TotalTime>
  <ScaleCrop>false</ScaleCrop>
  <LinksUpToDate>false</LinksUpToDate>
  <CharactersWithSpaces>384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2025-07-04T07:16:00Z</dcterms:created>
  <dc:creator>Tang</dc:creator>
  <cp:lastModifiedBy>Tang</cp:lastModifiedBy>
  <cp:lastPrinted>2025-07-04T08:39:34Z</cp:lastPrinted>
  <dcterms:modified xsi:type="dcterms:W3CDTF">2025-07-04T08:43:19Z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CE27571B7EC74040BEFDA58FC7F37C3C_11</vt:lpwstr>
  </property>
  <property fmtid="{D5CDD505-2E9C-101B-9397-08002B2CF9AE}" pid="4" name="KSOTemplateDocerSaveRecord">
    <vt:lpwstr>eyJoZGlkIjoiYmExZWRkZTBiYjVmNzM1NTBmOGU5M2RmMzNmMDEyMmQiLCJ1c2VySWQiOiIxMTIzODAzOTMxIn0=</vt:lpwstr>
  </property>
</Properties>
</file>